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23E95" w14:textId="77777777" w:rsidR="009D2133" w:rsidRPr="00007427" w:rsidRDefault="00EC1F59" w:rsidP="003F58D4">
      <w:pPr>
        <w:rPr>
          <w:b/>
          <w:sz w:val="3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BD5509F" wp14:editId="6182AA0B">
            <wp:extent cx="1236345" cy="1236345"/>
            <wp:effectExtent l="0" t="0" r="8255" b="8255"/>
            <wp:docPr id="1" name="Image 1" descr="Nouvelle identité visuelle : nouveau logo (édito lettre aux personnels du 7 juin 20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lle identité visuelle : nouveau logo (édito lettre aux personnels du 7 juin 2018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58D4" w:rsidRPr="00007427">
        <w:rPr>
          <w:b/>
        </w:rPr>
        <w:tab/>
      </w:r>
      <w:r w:rsidR="003F58D4" w:rsidRPr="00007427">
        <w:rPr>
          <w:b/>
        </w:rPr>
        <w:tab/>
      </w:r>
      <w:r w:rsidR="003F58D4" w:rsidRPr="00007427">
        <w:rPr>
          <w:b/>
          <w:sz w:val="32"/>
        </w:rPr>
        <w:tab/>
      </w:r>
    </w:p>
    <w:p w14:paraId="64A7A1AF" w14:textId="77777777" w:rsidR="00D62D27" w:rsidRPr="00007427" w:rsidRDefault="009D2133" w:rsidP="009D2133">
      <w:pPr>
        <w:jc w:val="center"/>
        <w:rPr>
          <w:b/>
          <w:sz w:val="32"/>
        </w:rPr>
      </w:pPr>
      <w:r w:rsidRPr="00007427">
        <w:rPr>
          <w:b/>
          <w:sz w:val="32"/>
        </w:rPr>
        <w:t>F</w:t>
      </w:r>
      <w:r w:rsidR="009459A8" w:rsidRPr="00007427">
        <w:rPr>
          <w:b/>
          <w:sz w:val="32"/>
        </w:rPr>
        <w:t xml:space="preserve">ICHE DE </w:t>
      </w:r>
      <w:r w:rsidR="001518A2" w:rsidRPr="00007427">
        <w:rPr>
          <w:b/>
          <w:sz w:val="32"/>
        </w:rPr>
        <w:t>POSTE</w:t>
      </w:r>
    </w:p>
    <w:p w14:paraId="0DF2A253" w14:textId="77777777" w:rsidR="00651314" w:rsidRPr="00007427" w:rsidRDefault="00651314" w:rsidP="009D2133">
      <w:pPr>
        <w:jc w:val="center"/>
        <w:rPr>
          <w:b/>
          <w:sz w:val="32"/>
        </w:rPr>
      </w:pPr>
      <w:r w:rsidRPr="00007427">
        <w:rPr>
          <w:b/>
          <w:sz w:val="32"/>
        </w:rPr>
        <w:t>ENSEIGNANT.ES-CHERCHEUR.ES</w:t>
      </w:r>
    </w:p>
    <w:p w14:paraId="304A0546" w14:textId="77777777" w:rsidR="003F58D4" w:rsidRPr="00007427" w:rsidRDefault="003F58D4" w:rsidP="004E4929">
      <w:pPr>
        <w:jc w:val="both"/>
        <w:rPr>
          <w:b/>
        </w:rPr>
      </w:pPr>
    </w:p>
    <w:p w14:paraId="22B90DF9" w14:textId="77777777" w:rsidR="004E4929" w:rsidRPr="00007427" w:rsidRDefault="004E4929" w:rsidP="004E4929">
      <w:pPr>
        <w:spacing w:after="240"/>
        <w:jc w:val="both"/>
      </w:pPr>
      <w:r w:rsidRPr="00007427">
        <w:t xml:space="preserve">Créée en 1973, l’université Lumière Lyon 2 est considérée comme la deuxième université française en Lettres, Langues, Sciences humaines et sociales. </w:t>
      </w:r>
    </w:p>
    <w:p w14:paraId="3059BE22" w14:textId="77777777" w:rsidR="004E4929" w:rsidRPr="00007427" w:rsidRDefault="004E4929" w:rsidP="004E4929">
      <w:pPr>
        <w:spacing w:after="240"/>
        <w:jc w:val="both"/>
      </w:pPr>
      <w:r w:rsidRPr="00007427">
        <w:t>Membre fondateur du Pôle de Recherche et d’Enseignement Supérieur (PRES) de Lyon, l’Université Lumière Lyon 2 accueille sur deux campus près de 30 000 étudiants, de la Licence 1 au doctorat.</w:t>
      </w:r>
    </w:p>
    <w:p w14:paraId="7DDFEC6C" w14:textId="77777777" w:rsidR="004E4929" w:rsidRPr="00007427" w:rsidRDefault="004E4929" w:rsidP="004E4929">
      <w:pPr>
        <w:jc w:val="both"/>
      </w:pPr>
      <w:r w:rsidRPr="00007427">
        <w:t xml:space="preserve">Elle compte 13 entités de formation réparties dans 4 domaines de formation et de recherche : </w:t>
      </w:r>
      <w:r w:rsidRPr="00007427">
        <w:rPr>
          <w:rStyle w:val="lev"/>
        </w:rPr>
        <w:t>Arts, lettres, langues</w:t>
      </w:r>
      <w:r w:rsidRPr="00007427">
        <w:t xml:space="preserve"> / </w:t>
      </w:r>
      <w:r w:rsidRPr="00007427">
        <w:rPr>
          <w:rStyle w:val="lev"/>
        </w:rPr>
        <w:t>Droit, économie, gestion</w:t>
      </w:r>
      <w:r w:rsidRPr="00007427">
        <w:t xml:space="preserve"> / </w:t>
      </w:r>
      <w:r w:rsidRPr="00007427">
        <w:rPr>
          <w:rStyle w:val="lev"/>
        </w:rPr>
        <w:t>Sciences humaines et sociales</w:t>
      </w:r>
      <w:r w:rsidRPr="00007427">
        <w:t xml:space="preserve"> / </w:t>
      </w:r>
      <w:r w:rsidRPr="00007427">
        <w:rPr>
          <w:rStyle w:val="lev"/>
        </w:rPr>
        <w:t>Sciences, technologie, santé</w:t>
      </w:r>
      <w:r w:rsidRPr="00007427">
        <w:t>.</w:t>
      </w:r>
    </w:p>
    <w:p w14:paraId="127DF5C8" w14:textId="77777777" w:rsidR="004E4929" w:rsidRPr="00007427" w:rsidRDefault="004E4929" w:rsidP="004E4929">
      <w:pPr>
        <w:jc w:val="both"/>
      </w:pPr>
      <w:r w:rsidRPr="00007427">
        <w:t xml:space="preserve">Dotée de </w:t>
      </w:r>
      <w:hyperlink r:id="rId6" w:history="1">
        <w:r w:rsidRPr="00007427">
          <w:t>34 laboratoires et de 3 fédérations de recherche</w:t>
        </w:r>
      </w:hyperlink>
      <w:r w:rsidRPr="00007427">
        <w:t>, couvrant l’ensemble du champ des Lettres - Langues - Sciences Humaines et Sociales (LLSHS), l’université Lumière Lyon 2 fait le pari de l’innovation, de l’interdisciplinarité, du partenariat et de l’ouverture internationale.</w:t>
      </w:r>
    </w:p>
    <w:p w14:paraId="054AA797" w14:textId="77777777" w:rsidR="004E4929" w:rsidRPr="00007427" w:rsidRDefault="004E4929" w:rsidP="003F58D4">
      <w:pPr>
        <w:rPr>
          <w:b/>
        </w:rPr>
      </w:pPr>
    </w:p>
    <w:p w14:paraId="1C0C0C99" w14:textId="77777777" w:rsidR="004E4929" w:rsidRPr="00007427" w:rsidRDefault="004E4929" w:rsidP="003F58D4">
      <w:pPr>
        <w:rPr>
          <w:b/>
        </w:rPr>
      </w:pPr>
    </w:p>
    <w:p w14:paraId="154BFAAA" w14:textId="77777777" w:rsidR="003F58D4" w:rsidRPr="00007427" w:rsidRDefault="00E41477" w:rsidP="00D62D27">
      <w:pPr>
        <w:rPr>
          <w:b/>
        </w:rPr>
      </w:pPr>
      <w:r w:rsidRPr="00007427">
        <w:rPr>
          <w:b/>
        </w:rPr>
        <w:t>Date de rédaction :</w:t>
      </w:r>
      <w:r w:rsidR="00FB7276" w:rsidRPr="00007427">
        <w:rPr>
          <w:b/>
        </w:rPr>
        <w:t xml:space="preserve">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6379"/>
      </w:tblGrid>
      <w:tr w:rsidR="00610690" w:rsidRPr="00007427" w14:paraId="7C2FDE67" w14:textId="77777777" w:rsidTr="004E4929">
        <w:tc>
          <w:tcPr>
            <w:tcW w:w="10740" w:type="dxa"/>
            <w:gridSpan w:val="2"/>
          </w:tcPr>
          <w:p w14:paraId="1EDBFE43" w14:textId="77777777" w:rsidR="00610690" w:rsidRPr="00007427" w:rsidRDefault="005F2275" w:rsidP="00F60A36">
            <w:pPr>
              <w:jc w:val="both"/>
            </w:pPr>
            <w:r w:rsidRPr="00007427">
              <w:t>Intitulé du poste</w:t>
            </w:r>
            <w:r w:rsidR="009D2133" w:rsidRPr="00007427">
              <w:t xml:space="preserve"> en français</w:t>
            </w:r>
            <w:r w:rsidR="00610690" w:rsidRPr="00007427">
              <w:t> :</w:t>
            </w:r>
            <w:r w:rsidR="00A17D94" w:rsidRPr="00007427">
              <w:t xml:space="preserve"> </w:t>
            </w:r>
            <w:r w:rsidR="007B6134" w:rsidRPr="00007427">
              <w:t xml:space="preserve">Maître de Conférences en Histoire </w:t>
            </w:r>
            <w:r w:rsidR="00245328" w:rsidRPr="00007427">
              <w:t xml:space="preserve">des mondes </w:t>
            </w:r>
            <w:r w:rsidR="00F60A36" w:rsidRPr="00007427">
              <w:t>islamiques</w:t>
            </w:r>
            <w:r w:rsidR="00245328" w:rsidRPr="00007427">
              <w:t xml:space="preserve"> médiévaux</w:t>
            </w:r>
          </w:p>
          <w:p w14:paraId="78B61426" w14:textId="77777777" w:rsidR="009D2133" w:rsidRPr="00007427" w:rsidRDefault="005F2275" w:rsidP="00F60A36">
            <w:pPr>
              <w:jc w:val="both"/>
            </w:pPr>
            <w:r w:rsidRPr="00007427">
              <w:t>Intitulé du poste</w:t>
            </w:r>
            <w:r w:rsidR="009D2133" w:rsidRPr="00007427">
              <w:t xml:space="preserve"> en anglais :</w:t>
            </w:r>
            <w:r w:rsidR="007B6134" w:rsidRPr="00007427">
              <w:t xml:space="preserve"> </w:t>
            </w:r>
            <w:proofErr w:type="spellStart"/>
            <w:r w:rsidR="00245328" w:rsidRPr="00007427">
              <w:t>Associate</w:t>
            </w:r>
            <w:proofErr w:type="spellEnd"/>
            <w:r w:rsidR="00245328" w:rsidRPr="00007427">
              <w:t xml:space="preserve"> Professor</w:t>
            </w:r>
            <w:r w:rsidR="00F60A36" w:rsidRPr="00007427">
              <w:t xml:space="preserve"> in </w:t>
            </w:r>
            <w:proofErr w:type="spellStart"/>
            <w:r w:rsidR="00F60A36" w:rsidRPr="00007427">
              <w:t>Islamic</w:t>
            </w:r>
            <w:proofErr w:type="spellEnd"/>
            <w:r w:rsidR="00F60A36" w:rsidRPr="00007427">
              <w:t xml:space="preserve"> </w:t>
            </w:r>
            <w:proofErr w:type="spellStart"/>
            <w:r w:rsidR="00F60A36" w:rsidRPr="00007427">
              <w:t>medieval</w:t>
            </w:r>
            <w:proofErr w:type="spellEnd"/>
            <w:r w:rsidR="00F60A36" w:rsidRPr="00007427">
              <w:t xml:space="preserve"> </w:t>
            </w:r>
            <w:proofErr w:type="spellStart"/>
            <w:r w:rsidR="00F60A36" w:rsidRPr="00007427">
              <w:t>history</w:t>
            </w:r>
            <w:proofErr w:type="spellEnd"/>
          </w:p>
        </w:tc>
      </w:tr>
      <w:tr w:rsidR="005F2275" w:rsidRPr="00007427" w14:paraId="0810C9A4" w14:textId="77777777" w:rsidTr="004E4929">
        <w:trPr>
          <w:trHeight w:val="595"/>
        </w:trPr>
        <w:tc>
          <w:tcPr>
            <w:tcW w:w="10740" w:type="dxa"/>
            <w:gridSpan w:val="2"/>
          </w:tcPr>
          <w:p w14:paraId="53740523" w14:textId="77777777" w:rsidR="005F2275" w:rsidRPr="00007427" w:rsidRDefault="005F2275" w:rsidP="005F2275">
            <w:r w:rsidRPr="00007427">
              <w:t xml:space="preserve">Section : </w:t>
            </w:r>
            <w:r w:rsidR="007B6134" w:rsidRPr="00007427">
              <w:t>21</w:t>
            </w:r>
          </w:p>
          <w:p w14:paraId="24F5E2F6" w14:textId="77777777" w:rsidR="005F2275" w:rsidRPr="00007427" w:rsidRDefault="005F2275" w:rsidP="005F2275">
            <w:r w:rsidRPr="00007427">
              <w:t>Corps :</w:t>
            </w:r>
            <w:r w:rsidR="007B6134" w:rsidRPr="00007427">
              <w:t xml:space="preserve"> MCF</w:t>
            </w:r>
          </w:p>
        </w:tc>
      </w:tr>
      <w:tr w:rsidR="00A54DD9" w:rsidRPr="00007427" w14:paraId="15E675B4" w14:textId="77777777" w:rsidTr="004E4929">
        <w:trPr>
          <w:trHeight w:val="595"/>
        </w:trPr>
        <w:tc>
          <w:tcPr>
            <w:tcW w:w="10740" w:type="dxa"/>
            <w:gridSpan w:val="2"/>
          </w:tcPr>
          <w:p w14:paraId="07145CFE" w14:textId="77777777" w:rsidR="005F2275" w:rsidRPr="00007427" w:rsidRDefault="005F2275" w:rsidP="00016AA3">
            <w:pPr>
              <w:rPr>
                <w:i/>
              </w:rPr>
            </w:pPr>
            <w:r w:rsidRPr="00007427">
              <w:rPr>
                <w:i/>
              </w:rPr>
              <w:t>Réservé à l’administration</w:t>
            </w:r>
          </w:p>
          <w:p w14:paraId="33402988" w14:textId="77777777" w:rsidR="009D2133" w:rsidRPr="00007427" w:rsidRDefault="009D2133" w:rsidP="00016AA3">
            <w:pPr>
              <w:rPr>
                <w:i/>
              </w:rPr>
            </w:pPr>
            <w:r w:rsidRPr="00007427">
              <w:rPr>
                <w:i/>
              </w:rPr>
              <w:t>Numéro de poste</w:t>
            </w:r>
            <w:r w:rsidR="00016AA3" w:rsidRPr="00007427">
              <w:rPr>
                <w:i/>
              </w:rPr>
              <w:t> :</w:t>
            </w:r>
            <w:r w:rsidR="00BA5056" w:rsidRPr="00007427">
              <w:rPr>
                <w:i/>
              </w:rPr>
              <w:t xml:space="preserve"> </w:t>
            </w:r>
          </w:p>
          <w:p w14:paraId="3F861528" w14:textId="77777777" w:rsidR="009D2133" w:rsidRPr="00007427" w:rsidRDefault="005F2275" w:rsidP="005F2275">
            <w:pPr>
              <w:rPr>
                <w:i/>
              </w:rPr>
            </w:pPr>
            <w:r w:rsidRPr="00007427">
              <w:rPr>
                <w:i/>
              </w:rPr>
              <w:t>Numéro Galaxie :</w:t>
            </w:r>
          </w:p>
        </w:tc>
      </w:tr>
      <w:tr w:rsidR="001518A2" w:rsidRPr="00007427" w14:paraId="7CCBB6D1" w14:textId="77777777" w:rsidTr="004E4929">
        <w:tc>
          <w:tcPr>
            <w:tcW w:w="10740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14:paraId="453E2985" w14:textId="77777777" w:rsidR="00610690" w:rsidRPr="00007427" w:rsidRDefault="001518A2" w:rsidP="00A54DD9">
            <w:pPr>
              <w:jc w:val="center"/>
              <w:rPr>
                <w:b/>
                <w:sz w:val="32"/>
                <w:szCs w:val="32"/>
              </w:rPr>
            </w:pPr>
            <w:r w:rsidRPr="00007427">
              <w:rPr>
                <w:b/>
                <w:sz w:val="32"/>
                <w:szCs w:val="32"/>
              </w:rPr>
              <w:t>ENSEIGNEMENT</w:t>
            </w:r>
          </w:p>
        </w:tc>
      </w:tr>
      <w:tr w:rsidR="00BA5056" w:rsidRPr="00007427" w14:paraId="26DE2769" w14:textId="77777777" w:rsidTr="004E4929">
        <w:tc>
          <w:tcPr>
            <w:tcW w:w="4361" w:type="dxa"/>
          </w:tcPr>
          <w:p w14:paraId="2E317885" w14:textId="77777777" w:rsidR="00BA5056" w:rsidRPr="00007427" w:rsidRDefault="005F2275" w:rsidP="00BA5056">
            <w:pPr>
              <w:jc w:val="both"/>
            </w:pPr>
            <w:r w:rsidRPr="00007427">
              <w:t>C</w:t>
            </w:r>
            <w:r w:rsidR="00382AD6" w:rsidRPr="00007427">
              <w:t>omposante</w:t>
            </w:r>
          </w:p>
        </w:tc>
        <w:tc>
          <w:tcPr>
            <w:tcW w:w="6379" w:type="dxa"/>
          </w:tcPr>
          <w:p w14:paraId="3AE96540" w14:textId="77777777" w:rsidR="00BA5056" w:rsidRPr="00007427" w:rsidRDefault="00823D57" w:rsidP="00245328">
            <w:pPr>
              <w:jc w:val="both"/>
            </w:pPr>
            <w:r w:rsidRPr="00007427">
              <w:t>UFR TEMPS ET TERRITOIRES</w:t>
            </w:r>
          </w:p>
        </w:tc>
      </w:tr>
      <w:tr w:rsidR="00BA5056" w:rsidRPr="00007427" w14:paraId="3A451C72" w14:textId="77777777" w:rsidTr="004E4929">
        <w:tc>
          <w:tcPr>
            <w:tcW w:w="4361" w:type="dxa"/>
          </w:tcPr>
          <w:p w14:paraId="339AB4D9" w14:textId="77777777" w:rsidR="00BA5056" w:rsidRPr="00007427" w:rsidRDefault="00BA5056" w:rsidP="00382AD6">
            <w:pPr>
              <w:jc w:val="both"/>
            </w:pPr>
            <w:r w:rsidRPr="00007427">
              <w:t xml:space="preserve">URL </w:t>
            </w:r>
            <w:r w:rsidR="00382AD6" w:rsidRPr="00007427">
              <w:t>composante</w:t>
            </w:r>
            <w:r w:rsidR="005F2275" w:rsidRPr="00007427">
              <w:t> </w:t>
            </w:r>
          </w:p>
        </w:tc>
        <w:tc>
          <w:tcPr>
            <w:tcW w:w="6379" w:type="dxa"/>
          </w:tcPr>
          <w:p w14:paraId="5118AA2B" w14:textId="77777777" w:rsidR="00BA5056" w:rsidRPr="00007427" w:rsidRDefault="00245328" w:rsidP="00BA5056">
            <w:pPr>
              <w:jc w:val="both"/>
            </w:pPr>
            <w:r w:rsidRPr="00007427">
              <w:t>https://ghhat.univ-lyon2.fr/geographie-et-amenagement-histoire-histoire-de-l-art-et-archeologie-tourisme-urbanisme--517389.kjsp</w:t>
            </w:r>
          </w:p>
        </w:tc>
      </w:tr>
      <w:tr w:rsidR="00BA5056" w:rsidRPr="00007427" w14:paraId="1FEB5776" w14:textId="77777777" w:rsidTr="004E4929">
        <w:tc>
          <w:tcPr>
            <w:tcW w:w="4361" w:type="dxa"/>
          </w:tcPr>
          <w:p w14:paraId="08611FAD" w14:textId="77777777" w:rsidR="00BA5056" w:rsidRPr="00007427" w:rsidRDefault="00382AD6" w:rsidP="005F2275">
            <w:pPr>
              <w:jc w:val="both"/>
            </w:pPr>
            <w:r w:rsidRPr="00007427">
              <w:t>Filières ou département d’enseignement</w:t>
            </w:r>
            <w:r w:rsidR="00BA5056" w:rsidRPr="00007427">
              <w:t> </w:t>
            </w:r>
          </w:p>
        </w:tc>
        <w:tc>
          <w:tcPr>
            <w:tcW w:w="6379" w:type="dxa"/>
          </w:tcPr>
          <w:p w14:paraId="1108F6A8" w14:textId="77777777" w:rsidR="00BA5056" w:rsidRPr="00007427" w:rsidRDefault="00245328" w:rsidP="00BA5056">
            <w:pPr>
              <w:jc w:val="both"/>
            </w:pPr>
            <w:r w:rsidRPr="00007427">
              <w:t>Département d’h</w:t>
            </w:r>
            <w:r w:rsidR="007B6134" w:rsidRPr="00007427">
              <w:t>istoire</w:t>
            </w:r>
          </w:p>
        </w:tc>
      </w:tr>
      <w:tr w:rsidR="00BA5056" w:rsidRPr="00007427" w14:paraId="260557AA" w14:textId="77777777" w:rsidTr="004E4929">
        <w:tc>
          <w:tcPr>
            <w:tcW w:w="4361" w:type="dxa"/>
          </w:tcPr>
          <w:p w14:paraId="228707D6" w14:textId="77777777" w:rsidR="00BA5056" w:rsidRPr="00007427" w:rsidRDefault="00382AD6" w:rsidP="005F2275">
            <w:pPr>
              <w:jc w:val="both"/>
            </w:pPr>
            <w:r w:rsidRPr="00007427">
              <w:t>Lieu exercice</w:t>
            </w:r>
            <w:r w:rsidR="00BA5056" w:rsidRPr="00007427">
              <w:t xml:space="preserve"> </w:t>
            </w:r>
          </w:p>
        </w:tc>
        <w:tc>
          <w:tcPr>
            <w:tcW w:w="6379" w:type="dxa"/>
          </w:tcPr>
          <w:p w14:paraId="31445889" w14:textId="77777777" w:rsidR="00BA5056" w:rsidRPr="00007427" w:rsidRDefault="00245328" w:rsidP="00BA5056">
            <w:pPr>
              <w:jc w:val="both"/>
            </w:pPr>
            <w:r w:rsidRPr="00007427">
              <w:t>Campus Porte des Alpes et Berges du Rhône</w:t>
            </w:r>
          </w:p>
        </w:tc>
      </w:tr>
      <w:tr w:rsidR="00BA5056" w:rsidRPr="00007427" w14:paraId="27C3AEDC" w14:textId="77777777" w:rsidTr="004E4929">
        <w:trPr>
          <w:trHeight w:val="1228"/>
        </w:trPr>
        <w:tc>
          <w:tcPr>
            <w:tcW w:w="4361" w:type="dxa"/>
          </w:tcPr>
          <w:p w14:paraId="3600CAB5" w14:textId="77777777" w:rsidR="00BA5056" w:rsidRPr="00007427" w:rsidRDefault="00382AD6" w:rsidP="00382AD6">
            <w:pPr>
              <w:jc w:val="both"/>
            </w:pPr>
            <w:r w:rsidRPr="00007427">
              <w:t>Contact pédagogique</w:t>
            </w:r>
            <w:r w:rsidR="00BA5056" w:rsidRPr="00007427">
              <w:t> </w:t>
            </w:r>
            <w:r w:rsidRPr="00007427">
              <w:t>(nom, téléphone professionnel et adresse électronique)</w:t>
            </w:r>
          </w:p>
        </w:tc>
        <w:tc>
          <w:tcPr>
            <w:tcW w:w="6379" w:type="dxa"/>
          </w:tcPr>
          <w:p w14:paraId="576D5333" w14:textId="77777777" w:rsidR="00F60A36" w:rsidRPr="00007427" w:rsidRDefault="00F60A36" w:rsidP="00F60A36">
            <w:pPr>
              <w:jc w:val="both"/>
            </w:pPr>
            <w:r w:rsidRPr="00007427">
              <w:t>Directrice du Département :</w:t>
            </w:r>
          </w:p>
          <w:p w14:paraId="181DB661" w14:textId="77777777" w:rsidR="00F60A36" w:rsidRPr="00007427" w:rsidRDefault="00F60A36" w:rsidP="00F60A36">
            <w:pPr>
              <w:jc w:val="both"/>
            </w:pPr>
            <w:r w:rsidRPr="00007427">
              <w:t xml:space="preserve">Mme Annette </w:t>
            </w:r>
            <w:proofErr w:type="spellStart"/>
            <w:r w:rsidRPr="00007427">
              <w:t>Giros</w:t>
            </w:r>
            <w:proofErr w:type="spellEnd"/>
            <w:r w:rsidRPr="00007427">
              <w:t xml:space="preserve"> </w:t>
            </w:r>
            <w:proofErr w:type="spellStart"/>
            <w:r w:rsidRPr="00007427">
              <w:t>Peignard</w:t>
            </w:r>
            <w:proofErr w:type="spellEnd"/>
          </w:p>
          <w:p w14:paraId="46EA5B77" w14:textId="77777777" w:rsidR="00BA5056" w:rsidRPr="00007427" w:rsidRDefault="00F60A36" w:rsidP="00BA5056">
            <w:pPr>
              <w:jc w:val="both"/>
            </w:pPr>
            <w:r w:rsidRPr="00007427">
              <w:t xml:space="preserve">annette.giros-peignard@univ-lyon2.fr </w:t>
            </w:r>
          </w:p>
        </w:tc>
      </w:tr>
      <w:tr w:rsidR="00BA5056" w:rsidRPr="00007427" w14:paraId="1644D8A7" w14:textId="77777777" w:rsidTr="004E4929">
        <w:trPr>
          <w:trHeight w:val="899"/>
        </w:trPr>
        <w:tc>
          <w:tcPr>
            <w:tcW w:w="4361" w:type="dxa"/>
          </w:tcPr>
          <w:p w14:paraId="19180477" w14:textId="77777777" w:rsidR="00BA5056" w:rsidRPr="00007427" w:rsidRDefault="00382AD6" w:rsidP="00382AD6">
            <w:r w:rsidRPr="00007427">
              <w:t xml:space="preserve">Profil enseignement </w:t>
            </w:r>
            <w:r w:rsidR="005F2275" w:rsidRPr="00007427">
              <w:t>(</w:t>
            </w:r>
            <w:r w:rsidR="00587A92" w:rsidRPr="00007427">
              <w:t xml:space="preserve">seuls les </w:t>
            </w:r>
            <w:r w:rsidR="005F2275" w:rsidRPr="00007427">
              <w:t xml:space="preserve">300 </w:t>
            </w:r>
            <w:r w:rsidR="0014075B" w:rsidRPr="00007427">
              <w:t>1</w:t>
            </w:r>
            <w:proofErr w:type="gramStart"/>
            <w:r w:rsidR="0014075B" w:rsidRPr="00007427">
              <w:rPr>
                <w:vertAlign w:val="superscript"/>
              </w:rPr>
              <w:t>ers</w:t>
            </w:r>
            <w:r w:rsidR="0014075B" w:rsidRPr="00007427">
              <w:t xml:space="preserve"> </w:t>
            </w:r>
            <w:r w:rsidR="00587A92" w:rsidRPr="00007427">
              <w:t xml:space="preserve"> </w:t>
            </w:r>
            <w:r w:rsidR="005F2275" w:rsidRPr="00007427">
              <w:t>caractères</w:t>
            </w:r>
            <w:proofErr w:type="gramEnd"/>
            <w:r w:rsidR="005F2275" w:rsidRPr="00007427">
              <w:t xml:space="preserve"> </w:t>
            </w:r>
            <w:r w:rsidR="00587A92" w:rsidRPr="00007427">
              <w:t>sont inscrits dans galaxie mais la fiche de poste complète est accessible</w:t>
            </w:r>
            <w:r w:rsidR="005F2275" w:rsidRPr="00007427">
              <w:t>)</w:t>
            </w:r>
          </w:p>
          <w:p w14:paraId="49701B34" w14:textId="77777777" w:rsidR="00382AD6" w:rsidRPr="00007427" w:rsidRDefault="00382AD6" w:rsidP="00382AD6"/>
          <w:p w14:paraId="6CD068CA" w14:textId="77777777" w:rsidR="00382AD6" w:rsidRPr="00007427" w:rsidRDefault="00382AD6" w:rsidP="00382AD6">
            <w:r w:rsidRPr="00007427">
              <w:t>Décrire notamment l’enseignement, le niveau (L, M, …) et le type (CM, TD, …)</w:t>
            </w:r>
          </w:p>
        </w:tc>
        <w:tc>
          <w:tcPr>
            <w:tcW w:w="6379" w:type="dxa"/>
          </w:tcPr>
          <w:p w14:paraId="1250F17D" w14:textId="77777777" w:rsidR="00112A3F" w:rsidRPr="00007427" w:rsidRDefault="00112A3F" w:rsidP="00E1259A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sz w:val="24"/>
                <w:szCs w:val="24"/>
              </w:rPr>
              <w:t xml:space="preserve">Le ou la </w:t>
            </w:r>
            <w:proofErr w:type="spellStart"/>
            <w:proofErr w:type="gramStart"/>
            <w:r w:rsidRPr="00007427">
              <w:rPr>
                <w:rFonts w:ascii="Times New Roman" w:hAnsi="Times New Roman" w:cs="Times New Roman"/>
                <w:sz w:val="24"/>
                <w:szCs w:val="24"/>
              </w:rPr>
              <w:t>candidat.e</w:t>
            </w:r>
            <w:proofErr w:type="spellEnd"/>
            <w:proofErr w:type="gramEnd"/>
            <w:r w:rsidRPr="00007427">
              <w:rPr>
                <w:rFonts w:ascii="Times New Roman" w:hAnsi="Times New Roman" w:cs="Times New Roman"/>
                <w:sz w:val="24"/>
                <w:szCs w:val="24"/>
              </w:rPr>
              <w:t xml:space="preserve"> devra principalement</w:t>
            </w:r>
            <w:r w:rsidR="00E1259A" w:rsidRPr="00007427">
              <w:rPr>
                <w:rFonts w:ascii="Times New Roman" w:hAnsi="Times New Roman" w:cs="Times New Roman"/>
                <w:sz w:val="24"/>
                <w:szCs w:val="24"/>
              </w:rPr>
              <w:t>, mais non exclusivement,</w:t>
            </w:r>
            <w:r w:rsidRPr="00007427">
              <w:rPr>
                <w:rFonts w:ascii="Times New Roman" w:hAnsi="Times New Roman" w:cs="Times New Roman"/>
                <w:sz w:val="24"/>
                <w:szCs w:val="24"/>
              </w:rPr>
              <w:t xml:space="preserve"> assurer des cours et des TD en histoire des mondes musulmans médiévaux</w:t>
            </w:r>
            <w:r w:rsidR="00E1259A" w:rsidRPr="000074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7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8B8" w:rsidRPr="00007427">
              <w:rPr>
                <w:rFonts w:ascii="Times New Roman" w:hAnsi="Times New Roman" w:cs="Times New Roman"/>
                <w:sz w:val="24"/>
                <w:szCs w:val="24"/>
              </w:rPr>
              <w:t xml:space="preserve">en Licence d’histoire et dans le cadre du </w:t>
            </w:r>
            <w:r w:rsidRPr="00007427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  <w:r w:rsidR="001E68B8" w:rsidRPr="00007427">
              <w:rPr>
                <w:rFonts w:ascii="Times New Roman" w:hAnsi="Times New Roman" w:cs="Times New Roman"/>
                <w:sz w:val="24"/>
                <w:szCs w:val="24"/>
              </w:rPr>
              <w:t xml:space="preserve"> « Mondes médiévaux »</w:t>
            </w:r>
            <w:r w:rsidRPr="00007427">
              <w:rPr>
                <w:rFonts w:ascii="Times New Roman" w:hAnsi="Times New Roman" w:cs="Times New Roman"/>
                <w:sz w:val="24"/>
                <w:szCs w:val="24"/>
              </w:rPr>
              <w:t>. La préparation des étudiants aux concours d’enseig</w:t>
            </w:r>
            <w:r w:rsidR="001E68B8" w:rsidRPr="0000742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07427">
              <w:rPr>
                <w:rFonts w:ascii="Times New Roman" w:hAnsi="Times New Roman" w:cs="Times New Roman"/>
                <w:sz w:val="24"/>
                <w:szCs w:val="24"/>
              </w:rPr>
              <w:t xml:space="preserve">ement lorsque l’histoire de l’islam est au programme fait partie intégrante du service. </w:t>
            </w:r>
            <w:r w:rsidR="00E1259A" w:rsidRPr="00007427">
              <w:rPr>
                <w:rFonts w:ascii="Times New Roman" w:hAnsi="Times New Roman" w:cs="Times New Roman"/>
                <w:sz w:val="24"/>
                <w:szCs w:val="24"/>
              </w:rPr>
              <w:t>L’enseignement en direction d’un plus large public d’étudiants, en dehors de l’UFR Temps et Territoires, ainsi qu’une implication dans la formation continue, pourront aussi faire partie du service demandé.</w:t>
            </w:r>
          </w:p>
          <w:p w14:paraId="464D15A9" w14:textId="77777777" w:rsidR="00BA5056" w:rsidRPr="00007427" w:rsidRDefault="00BA5056" w:rsidP="00382AD6">
            <w:pPr>
              <w:jc w:val="both"/>
              <w:rPr>
                <w:szCs w:val="28"/>
              </w:rPr>
            </w:pPr>
          </w:p>
        </w:tc>
      </w:tr>
      <w:tr w:rsidR="00BA5056" w:rsidRPr="00007427" w14:paraId="2E9FDE0F" w14:textId="77777777" w:rsidTr="004E4929">
        <w:tc>
          <w:tcPr>
            <w:tcW w:w="4361" w:type="dxa"/>
          </w:tcPr>
          <w:p w14:paraId="6A38337D" w14:textId="77777777" w:rsidR="00382AD6" w:rsidRPr="00007427" w:rsidRDefault="00382AD6" w:rsidP="00382AD6"/>
          <w:p w14:paraId="091C44CA" w14:textId="77777777" w:rsidR="00382AD6" w:rsidRPr="00007427" w:rsidRDefault="00382AD6" w:rsidP="00382AD6">
            <w:r w:rsidRPr="00007427">
              <w:t>Profil enseignement en anglais</w:t>
            </w:r>
          </w:p>
          <w:p w14:paraId="1C87AEF6" w14:textId="77777777" w:rsidR="00382AD6" w:rsidRPr="00007427" w:rsidRDefault="00382AD6" w:rsidP="00382AD6"/>
          <w:p w14:paraId="1C4FC1FA" w14:textId="77777777" w:rsidR="00382AD6" w:rsidRPr="00007427" w:rsidRDefault="00382AD6" w:rsidP="00382AD6"/>
          <w:p w14:paraId="3AD1468C" w14:textId="77777777" w:rsidR="00382AD6" w:rsidRPr="00007427" w:rsidRDefault="00382AD6" w:rsidP="00382AD6"/>
          <w:p w14:paraId="098C4194" w14:textId="77777777" w:rsidR="00382AD6" w:rsidRPr="00007427" w:rsidRDefault="00382AD6" w:rsidP="00382AD6"/>
        </w:tc>
        <w:tc>
          <w:tcPr>
            <w:tcW w:w="6379" w:type="dxa"/>
          </w:tcPr>
          <w:p w14:paraId="64BC80A3" w14:textId="77777777" w:rsidR="002D7B7D" w:rsidRPr="00007427" w:rsidRDefault="002D7B7D" w:rsidP="002D7B7D">
            <w:pPr>
              <w:jc w:val="both"/>
              <w:rPr>
                <w:szCs w:val="28"/>
                <w:lang w:val="en-US"/>
              </w:rPr>
            </w:pPr>
          </w:p>
        </w:tc>
      </w:tr>
      <w:tr w:rsidR="009A00D9" w:rsidRPr="00007427" w14:paraId="6F20294C" w14:textId="77777777" w:rsidTr="004E4929">
        <w:trPr>
          <w:trHeight w:val="368"/>
        </w:trPr>
        <w:tc>
          <w:tcPr>
            <w:tcW w:w="10740" w:type="dxa"/>
            <w:gridSpan w:val="2"/>
            <w:shd w:val="clear" w:color="auto" w:fill="BFBFBF" w:themeFill="background1" w:themeFillShade="BF"/>
          </w:tcPr>
          <w:p w14:paraId="4616AE0E" w14:textId="77777777" w:rsidR="009A00D9" w:rsidRPr="00007427" w:rsidRDefault="009A00D9" w:rsidP="00BA5056">
            <w:pPr>
              <w:jc w:val="center"/>
              <w:rPr>
                <w:b/>
                <w:sz w:val="32"/>
                <w:szCs w:val="32"/>
              </w:rPr>
            </w:pPr>
            <w:r w:rsidRPr="00007427">
              <w:rPr>
                <w:b/>
                <w:sz w:val="32"/>
                <w:szCs w:val="32"/>
              </w:rPr>
              <w:t>RECHERCHE</w:t>
            </w:r>
          </w:p>
        </w:tc>
      </w:tr>
      <w:tr w:rsidR="00BA5056" w:rsidRPr="00007427" w14:paraId="099EA11E" w14:textId="77777777" w:rsidTr="004E4929">
        <w:tc>
          <w:tcPr>
            <w:tcW w:w="4361" w:type="dxa"/>
          </w:tcPr>
          <w:p w14:paraId="3FDD3D20" w14:textId="77777777" w:rsidR="00BA5056" w:rsidRPr="00007427" w:rsidRDefault="00382AD6" w:rsidP="00BA5056">
            <w:pPr>
              <w:jc w:val="both"/>
            </w:pPr>
            <w:r w:rsidRPr="00007427">
              <w:t>Unité de recherche</w:t>
            </w:r>
          </w:p>
        </w:tc>
        <w:tc>
          <w:tcPr>
            <w:tcW w:w="6379" w:type="dxa"/>
          </w:tcPr>
          <w:p w14:paraId="257EB97C" w14:textId="77777777" w:rsidR="00BA5056" w:rsidRPr="00007427" w:rsidRDefault="007B6134" w:rsidP="00BA5056">
            <w:pPr>
              <w:jc w:val="both"/>
            </w:pPr>
            <w:r w:rsidRPr="00007427">
              <w:t>CIHAM-UMR 5648</w:t>
            </w:r>
          </w:p>
        </w:tc>
      </w:tr>
      <w:tr w:rsidR="00382AD6" w:rsidRPr="00007427" w14:paraId="34612F88" w14:textId="77777777" w:rsidTr="004E4929">
        <w:tc>
          <w:tcPr>
            <w:tcW w:w="4361" w:type="dxa"/>
          </w:tcPr>
          <w:p w14:paraId="2597B1EC" w14:textId="77777777" w:rsidR="00382AD6" w:rsidRPr="00007427" w:rsidRDefault="00382AD6" w:rsidP="005F2275">
            <w:pPr>
              <w:jc w:val="both"/>
            </w:pPr>
            <w:r w:rsidRPr="00007427">
              <w:t xml:space="preserve">Lieu exercice  </w:t>
            </w:r>
          </w:p>
        </w:tc>
        <w:tc>
          <w:tcPr>
            <w:tcW w:w="6379" w:type="dxa"/>
          </w:tcPr>
          <w:p w14:paraId="47918326" w14:textId="77777777" w:rsidR="00382AD6" w:rsidRPr="00007427" w:rsidRDefault="00E1259A" w:rsidP="00B96415">
            <w:pPr>
              <w:jc w:val="both"/>
            </w:pPr>
            <w:r w:rsidRPr="00007427">
              <w:t>Maison des Sciences de l’Homme Lyon St Etienne (</w:t>
            </w:r>
            <w:r w:rsidR="00F60A36" w:rsidRPr="00007427">
              <w:t>Berges du Rhône)</w:t>
            </w:r>
          </w:p>
        </w:tc>
      </w:tr>
      <w:tr w:rsidR="00BA5056" w:rsidRPr="00007427" w14:paraId="4DA11EB7" w14:textId="77777777" w:rsidTr="004E4929">
        <w:trPr>
          <w:trHeight w:val="880"/>
        </w:trPr>
        <w:tc>
          <w:tcPr>
            <w:tcW w:w="4361" w:type="dxa"/>
          </w:tcPr>
          <w:p w14:paraId="0F694F5F" w14:textId="77777777" w:rsidR="00382AD6" w:rsidRPr="00007427" w:rsidRDefault="00382AD6" w:rsidP="00382AD6">
            <w:pPr>
              <w:jc w:val="both"/>
            </w:pPr>
            <w:r w:rsidRPr="00007427">
              <w:t>Contact scientifique (nom, téléphone professionnel et adresse électronique)</w:t>
            </w:r>
          </w:p>
          <w:p w14:paraId="5616B69E" w14:textId="77777777" w:rsidR="00BA5056" w:rsidRPr="00007427" w:rsidRDefault="00BA5056" w:rsidP="00BA5056">
            <w:pPr>
              <w:jc w:val="both"/>
            </w:pPr>
          </w:p>
        </w:tc>
        <w:tc>
          <w:tcPr>
            <w:tcW w:w="6379" w:type="dxa"/>
          </w:tcPr>
          <w:p w14:paraId="4068B3B3" w14:textId="77777777" w:rsidR="00F60A36" w:rsidRPr="00007427" w:rsidRDefault="00F60A36" w:rsidP="00F60A36">
            <w:pPr>
              <w:jc w:val="both"/>
            </w:pPr>
            <w:r w:rsidRPr="00007427">
              <w:t>Directeur du laboratoire CIHAM</w:t>
            </w:r>
          </w:p>
          <w:p w14:paraId="0BC2ADE0" w14:textId="77777777" w:rsidR="00F60A36" w:rsidRPr="00007427" w:rsidRDefault="00F60A36" w:rsidP="00F60A36">
            <w:pPr>
              <w:jc w:val="both"/>
            </w:pPr>
            <w:r w:rsidRPr="00007427">
              <w:t xml:space="preserve">M. Jean-Louis </w:t>
            </w:r>
            <w:proofErr w:type="spellStart"/>
            <w:r w:rsidRPr="00007427">
              <w:t>Gaulin</w:t>
            </w:r>
            <w:proofErr w:type="spellEnd"/>
          </w:p>
          <w:p w14:paraId="469527AB" w14:textId="77777777" w:rsidR="00F60A36" w:rsidRPr="00007427" w:rsidRDefault="00F60A36" w:rsidP="00F60A36">
            <w:pPr>
              <w:jc w:val="both"/>
            </w:pPr>
            <w:r w:rsidRPr="00007427">
              <w:t>04 72 72 65 80</w:t>
            </w:r>
          </w:p>
          <w:p w14:paraId="631F94EC" w14:textId="77777777" w:rsidR="00BA5056" w:rsidRPr="00007427" w:rsidRDefault="0015121E" w:rsidP="00F60A36">
            <w:pPr>
              <w:jc w:val="both"/>
            </w:pPr>
            <w:hyperlink r:id="rId7" w:history="1">
              <w:r w:rsidR="00F60A36" w:rsidRPr="00007427">
                <w:rPr>
                  <w:rStyle w:val="Lienhypertexte"/>
                </w:rPr>
                <w:t>jean-louis.gaulin@univ-lyon2.fr</w:t>
              </w:r>
            </w:hyperlink>
          </w:p>
        </w:tc>
      </w:tr>
      <w:tr w:rsidR="00BA5056" w:rsidRPr="00007427" w14:paraId="67D4EC91" w14:textId="77777777" w:rsidTr="004E4929">
        <w:trPr>
          <w:trHeight w:val="333"/>
        </w:trPr>
        <w:tc>
          <w:tcPr>
            <w:tcW w:w="4361" w:type="dxa"/>
          </w:tcPr>
          <w:p w14:paraId="39242B6C" w14:textId="77777777" w:rsidR="00BA5056" w:rsidRPr="00007427" w:rsidRDefault="00BA5056" w:rsidP="005F2275">
            <w:pPr>
              <w:jc w:val="both"/>
            </w:pPr>
            <w:r w:rsidRPr="00007427">
              <w:t xml:space="preserve">URL </w:t>
            </w:r>
            <w:r w:rsidR="00382AD6" w:rsidRPr="00007427">
              <w:t>de l’unité de recherche</w:t>
            </w:r>
            <w:r w:rsidRPr="00007427">
              <w:t xml:space="preserve">  </w:t>
            </w:r>
          </w:p>
        </w:tc>
        <w:tc>
          <w:tcPr>
            <w:tcW w:w="6379" w:type="dxa"/>
          </w:tcPr>
          <w:p w14:paraId="3BA29903" w14:textId="77777777" w:rsidR="00BA5056" w:rsidRPr="00007427" w:rsidRDefault="00245328" w:rsidP="00BA5056">
            <w:pPr>
              <w:jc w:val="both"/>
            </w:pPr>
            <w:r w:rsidRPr="00007427">
              <w:t>http://ciham.msh-lse.fr/</w:t>
            </w:r>
          </w:p>
        </w:tc>
      </w:tr>
      <w:tr w:rsidR="00382AD6" w:rsidRPr="00007427" w14:paraId="3776939C" w14:textId="77777777" w:rsidTr="004E4929">
        <w:tc>
          <w:tcPr>
            <w:tcW w:w="4361" w:type="dxa"/>
          </w:tcPr>
          <w:p w14:paraId="6E8466C4" w14:textId="77777777" w:rsidR="005F2275" w:rsidRPr="00007427" w:rsidRDefault="005F2275" w:rsidP="00BA5056">
            <w:pPr>
              <w:jc w:val="both"/>
            </w:pPr>
          </w:p>
          <w:p w14:paraId="68676337" w14:textId="77777777" w:rsidR="00382AD6" w:rsidRPr="00007427" w:rsidRDefault="00382AD6" w:rsidP="00BA5056">
            <w:pPr>
              <w:jc w:val="both"/>
            </w:pPr>
            <w:r w:rsidRPr="00007427">
              <w:t>Profil recherche</w:t>
            </w:r>
            <w:r w:rsidR="005F2275" w:rsidRPr="00007427">
              <w:t xml:space="preserve"> (</w:t>
            </w:r>
            <w:r w:rsidR="0014075B" w:rsidRPr="00007427">
              <w:t>seuls les 300 1</w:t>
            </w:r>
            <w:r w:rsidR="0014075B" w:rsidRPr="00007427">
              <w:rPr>
                <w:vertAlign w:val="superscript"/>
              </w:rPr>
              <w:t>ers</w:t>
            </w:r>
            <w:r w:rsidR="0014075B" w:rsidRPr="00007427">
              <w:t xml:space="preserve"> </w:t>
            </w:r>
            <w:r w:rsidR="00587A92" w:rsidRPr="00007427">
              <w:t>caractères sont inscrits dans galaxie mais la fiche de poste complète est accessible</w:t>
            </w:r>
            <w:r w:rsidR="005F2275" w:rsidRPr="00007427">
              <w:t>)</w:t>
            </w:r>
          </w:p>
          <w:p w14:paraId="6156121D" w14:textId="77777777" w:rsidR="005F2275" w:rsidRPr="00007427" w:rsidRDefault="005F2275" w:rsidP="00BA5056">
            <w:pPr>
              <w:jc w:val="both"/>
            </w:pPr>
          </w:p>
          <w:p w14:paraId="3E01DA45" w14:textId="77777777" w:rsidR="005F2275" w:rsidRPr="00007427" w:rsidRDefault="005F2275" w:rsidP="00BA5056">
            <w:pPr>
              <w:jc w:val="both"/>
            </w:pPr>
          </w:p>
          <w:p w14:paraId="681F6CF2" w14:textId="77777777" w:rsidR="005F2275" w:rsidRPr="00007427" w:rsidRDefault="005F2275" w:rsidP="00BA5056">
            <w:pPr>
              <w:jc w:val="both"/>
            </w:pPr>
          </w:p>
          <w:p w14:paraId="18A35EA0" w14:textId="77777777" w:rsidR="005F2275" w:rsidRPr="00007427" w:rsidRDefault="005F2275" w:rsidP="00BA5056">
            <w:pPr>
              <w:jc w:val="both"/>
            </w:pPr>
          </w:p>
          <w:p w14:paraId="4E71EA61" w14:textId="77777777" w:rsidR="00382AD6" w:rsidRPr="00007427" w:rsidRDefault="00382AD6" w:rsidP="00BA5056">
            <w:pPr>
              <w:jc w:val="both"/>
            </w:pPr>
          </w:p>
        </w:tc>
        <w:tc>
          <w:tcPr>
            <w:tcW w:w="6379" w:type="dxa"/>
          </w:tcPr>
          <w:p w14:paraId="0339654E" w14:textId="77777777" w:rsidR="00112A3F" w:rsidRPr="00007427" w:rsidRDefault="00112A3F" w:rsidP="00112A3F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Le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poste est affecté au laboratoire CIHAM-UMR 5648 « Histoire, Archéologie, Littératures des mondes chrétiens et musulmans médiévaux ». Le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/La </w:t>
            </w:r>
            <w:proofErr w:type="spellStart"/>
            <w:proofErr w:type="gramStart"/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candidat.e</w:t>
            </w:r>
            <w:proofErr w:type="spellEnd"/>
            <w:proofErr w:type="gramEnd"/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devra posséder de solides compétences en langue arabe et ses recherches devront porter sur l’histoire des mondes musulmans médiévaux.</w:t>
            </w:r>
          </w:p>
          <w:p w14:paraId="4BF0218D" w14:textId="77777777" w:rsidR="00F60A36" w:rsidRPr="00007427" w:rsidRDefault="00F60A36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L'UMR 5648 réunit environ 60 membres statutaires, historiens, archéologues et littéraires 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relevant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u Centre national de 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la recherche Scientifique, de l'Université Lumière Lyon 2, de l’Université Jean-Moulin Lyon 3, de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l’École des hautes études en sciences Sociales (pôle de Lyon), 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l’École normale supérieure de Lyon et 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d’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Avignon Université. Il est 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associ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é à la Maison des Sciences de l'Homme de Lyon St Etienne. </w:t>
            </w:r>
          </w:p>
          <w:p w14:paraId="5643EB40" w14:textId="77777777" w:rsidR="00F60A36" w:rsidRPr="00007427" w:rsidRDefault="00007427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Ses thématiques de recherche </w:t>
            </w:r>
            <w:r w:rsidR="00F60A36"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privilégient l’interdi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sciplinarité et le comparatisme. Elles</w:t>
            </w:r>
            <w:r w:rsidR="00F60A36"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sont actuellement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 nombre de cinq : </w:t>
            </w:r>
          </w:p>
          <w:p w14:paraId="06A4DC9B" w14:textId="77777777" w:rsidR="00F60A36" w:rsidRPr="00007427" w:rsidRDefault="00F60A36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 .Territoires</w:t>
            </w:r>
            <w:proofErr w:type="gramEnd"/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marges et frontières</w:t>
            </w:r>
          </w:p>
          <w:p w14:paraId="7DAFDE6D" w14:textId="77777777" w:rsidR="00F60A36" w:rsidRPr="00007427" w:rsidRDefault="00F60A36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Pouvoir et autorité en Orient et en Occident</w:t>
            </w:r>
          </w:p>
          <w:p w14:paraId="5EF4FDAC" w14:textId="77777777" w:rsidR="00F60A36" w:rsidRPr="00007427" w:rsidRDefault="00F60A36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 Constructi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on et communication des savoirs</w:t>
            </w:r>
          </w:p>
          <w:p w14:paraId="77B495E9" w14:textId="77777777" w:rsidR="00F60A36" w:rsidRPr="00007427" w:rsidRDefault="00F60A36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 Ecritures, livres, translations</w:t>
            </w:r>
          </w:p>
          <w:p w14:paraId="65E7F118" w14:textId="77777777" w:rsidR="00F60A36" w:rsidRPr="00007427" w:rsidRDefault="00F60A36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 Hommes, biens et marchés</w:t>
            </w:r>
          </w:p>
          <w:p w14:paraId="0E1923D4" w14:textId="77777777" w:rsidR="00F60A36" w:rsidRPr="00007427" w:rsidRDefault="00E1259A" w:rsidP="00F60A36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Les </w:t>
            </w:r>
            <w:r w:rsidR="00F60A36"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Humanités numériques</w:t>
            </w:r>
            <w:r w:rsid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les activités de traduction </w:t>
            </w:r>
            <w:r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et la diffusion des savoirs</w:t>
            </w:r>
            <w:r w:rsidR="00F60A36" w:rsidRPr="000074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occupent une place grandissante. </w:t>
            </w:r>
          </w:p>
          <w:p w14:paraId="75802406" w14:textId="77777777" w:rsidR="00382AD6" w:rsidRPr="00007427" w:rsidRDefault="00007427" w:rsidP="00BA5056">
            <w:pPr>
              <w:jc w:val="both"/>
            </w:pPr>
            <w:r>
              <w:rPr>
                <w:u w:color="000000"/>
              </w:rPr>
              <w:t xml:space="preserve">Le </w:t>
            </w:r>
            <w:r w:rsidR="00F60A36" w:rsidRPr="00007427">
              <w:rPr>
                <w:u w:color="000000"/>
              </w:rPr>
              <w:t xml:space="preserve">CIHAM a établi des liens particulièrement solides avec l'Espagne, l’Italie, les pays du Maghreb et le Proche-Orient et </w:t>
            </w:r>
            <w:r>
              <w:rPr>
                <w:u w:color="000000"/>
              </w:rPr>
              <w:t>développé</w:t>
            </w:r>
            <w:r w:rsidR="00F60A36" w:rsidRPr="00007427">
              <w:rPr>
                <w:u w:color="000000"/>
              </w:rPr>
              <w:t xml:space="preserve"> de nombreux partenariats internationaux. Du point de vue de la formati</w:t>
            </w:r>
            <w:r w:rsidR="00E1259A" w:rsidRPr="00007427">
              <w:rPr>
                <w:u w:color="000000"/>
              </w:rPr>
              <w:t>on, le CIHAM accueille environ 5</w:t>
            </w:r>
            <w:r w:rsidR="00F60A36" w:rsidRPr="00007427">
              <w:rPr>
                <w:u w:color="000000"/>
              </w:rPr>
              <w:t>0 doctorants et sert d'appui scientifique à la mention de Master « </w:t>
            </w:r>
            <w:r w:rsidR="00E1259A" w:rsidRPr="00007427">
              <w:rPr>
                <w:u w:color="000000"/>
              </w:rPr>
              <w:t>Mondes médiévaux </w:t>
            </w:r>
            <w:r>
              <w:rPr>
                <w:u w:color="000000"/>
              </w:rPr>
              <w:t xml:space="preserve">» </w:t>
            </w:r>
            <w:r w:rsidR="00F60A36" w:rsidRPr="00007427">
              <w:rPr>
                <w:u w:color="000000"/>
              </w:rPr>
              <w:t>délivré</w:t>
            </w:r>
            <w:r>
              <w:rPr>
                <w:u w:color="000000"/>
              </w:rPr>
              <w:t>e conjointement par l’U</w:t>
            </w:r>
            <w:r w:rsidR="00F60A36" w:rsidRPr="00007427">
              <w:rPr>
                <w:u w:color="000000"/>
              </w:rPr>
              <w:t>niversité Lyon 2, l’EHE</w:t>
            </w:r>
            <w:r>
              <w:rPr>
                <w:u w:color="000000"/>
              </w:rPr>
              <w:t>SS, l’ENS de Lyon, l’Université Lyon 3 et l’U</w:t>
            </w:r>
            <w:r w:rsidR="00F60A36" w:rsidRPr="00007427">
              <w:rPr>
                <w:u w:color="000000"/>
              </w:rPr>
              <w:t>niversité de Savoie</w:t>
            </w:r>
            <w:r>
              <w:rPr>
                <w:u w:color="000000"/>
              </w:rPr>
              <w:t xml:space="preserve"> Mont-Blanc</w:t>
            </w:r>
            <w:r w:rsidR="00F60A36" w:rsidRPr="00007427">
              <w:rPr>
                <w:u w:color="000000"/>
              </w:rPr>
              <w:t>.</w:t>
            </w:r>
            <w:r w:rsidR="00F60A36" w:rsidRPr="00007427">
              <w:t xml:space="preserve"> Le CIHAM est membre du GIS Mondes Musulmans et Moyen-Orient.</w:t>
            </w:r>
          </w:p>
          <w:p w14:paraId="4FF2FA3B" w14:textId="77777777" w:rsidR="005F2275" w:rsidRPr="00007427" w:rsidRDefault="005F2275" w:rsidP="00BA5056">
            <w:pPr>
              <w:jc w:val="both"/>
            </w:pPr>
          </w:p>
        </w:tc>
      </w:tr>
      <w:tr w:rsidR="00382AD6" w:rsidRPr="00007427" w14:paraId="579E0B49" w14:textId="77777777" w:rsidTr="00C33060">
        <w:trPr>
          <w:trHeight w:val="634"/>
        </w:trPr>
        <w:tc>
          <w:tcPr>
            <w:tcW w:w="4361" w:type="dxa"/>
          </w:tcPr>
          <w:p w14:paraId="5B0989E8" w14:textId="77777777" w:rsidR="00382AD6" w:rsidRPr="00007427" w:rsidRDefault="00382AD6" w:rsidP="006215F7">
            <w:pPr>
              <w:jc w:val="both"/>
            </w:pPr>
            <w:proofErr w:type="spellStart"/>
            <w:r w:rsidRPr="00007427">
              <w:t>Research</w:t>
            </w:r>
            <w:proofErr w:type="spellEnd"/>
            <w:r w:rsidRPr="00007427">
              <w:t xml:space="preserve"> </w:t>
            </w:r>
            <w:proofErr w:type="spellStart"/>
            <w:r w:rsidRPr="00007427">
              <w:t>fields</w:t>
            </w:r>
            <w:proofErr w:type="spellEnd"/>
            <w:r w:rsidRPr="00007427">
              <w:t xml:space="preserve"> </w:t>
            </w:r>
          </w:p>
        </w:tc>
        <w:tc>
          <w:tcPr>
            <w:tcW w:w="6379" w:type="dxa"/>
          </w:tcPr>
          <w:p w14:paraId="17FC7901" w14:textId="77777777" w:rsidR="00382AD6" w:rsidRPr="00007427" w:rsidRDefault="00E1259A" w:rsidP="00382AD6">
            <w:pPr>
              <w:jc w:val="both"/>
            </w:pPr>
            <w:proofErr w:type="spellStart"/>
            <w:r w:rsidRPr="00007427">
              <w:t>Medieval</w:t>
            </w:r>
            <w:proofErr w:type="spellEnd"/>
            <w:r w:rsidRPr="00007427">
              <w:t xml:space="preserve"> </w:t>
            </w:r>
            <w:proofErr w:type="spellStart"/>
            <w:r w:rsidRPr="00007427">
              <w:t>Studies</w:t>
            </w:r>
            <w:proofErr w:type="spellEnd"/>
          </w:p>
          <w:p w14:paraId="4BBAC82C" w14:textId="77777777" w:rsidR="00382AD6" w:rsidRPr="00007427" w:rsidRDefault="00382AD6" w:rsidP="00382AD6">
            <w:pPr>
              <w:jc w:val="both"/>
            </w:pPr>
          </w:p>
        </w:tc>
      </w:tr>
      <w:tr w:rsidR="00C33060" w:rsidRPr="00007427" w14:paraId="2C185BC1" w14:textId="77777777" w:rsidTr="00C33060">
        <w:trPr>
          <w:trHeight w:val="368"/>
        </w:trPr>
        <w:tc>
          <w:tcPr>
            <w:tcW w:w="10740" w:type="dxa"/>
            <w:gridSpan w:val="2"/>
            <w:shd w:val="clear" w:color="auto" w:fill="BFBFBF"/>
          </w:tcPr>
          <w:p w14:paraId="6523DE69" w14:textId="77777777" w:rsidR="00C33060" w:rsidRPr="00007427" w:rsidRDefault="00C33060" w:rsidP="00C33060">
            <w:pPr>
              <w:rPr>
                <w:b/>
                <w:sz w:val="32"/>
                <w:szCs w:val="32"/>
              </w:rPr>
            </w:pPr>
          </w:p>
        </w:tc>
      </w:tr>
      <w:tr w:rsidR="00382AD6" w:rsidRPr="00007427" w14:paraId="267F5DA2" w14:textId="77777777" w:rsidTr="004E4929">
        <w:tc>
          <w:tcPr>
            <w:tcW w:w="10740" w:type="dxa"/>
            <w:gridSpan w:val="2"/>
          </w:tcPr>
          <w:p w14:paraId="3D84CD63" w14:textId="77777777" w:rsidR="00382AD6" w:rsidRPr="00007427" w:rsidRDefault="00382AD6" w:rsidP="00382AD6">
            <w:pPr>
              <w:jc w:val="both"/>
            </w:pPr>
            <w:r w:rsidRPr="00007427">
              <w:t>Responsabilité</w:t>
            </w:r>
            <w:r w:rsidR="00E1259A" w:rsidRPr="00007427">
              <w:t>s</w:t>
            </w:r>
            <w:r w:rsidRPr="00007427">
              <w:t xml:space="preserve"> administratives et pédagogiques envisagées :</w:t>
            </w:r>
          </w:p>
          <w:p w14:paraId="2AC81360" w14:textId="77777777" w:rsidR="00382AD6" w:rsidRPr="00007427" w:rsidRDefault="00382AD6" w:rsidP="00382AD6">
            <w:pPr>
              <w:jc w:val="both"/>
            </w:pPr>
          </w:p>
          <w:p w14:paraId="589C1D7E" w14:textId="77777777" w:rsidR="00557A24" w:rsidRPr="00007427" w:rsidRDefault="00F60A36" w:rsidP="00E1259A">
            <w:pPr>
              <w:jc w:val="both"/>
            </w:pPr>
            <w:r w:rsidRPr="00007427">
              <w:t xml:space="preserve">Le/La </w:t>
            </w:r>
            <w:proofErr w:type="spellStart"/>
            <w:proofErr w:type="gramStart"/>
            <w:r w:rsidRPr="00007427">
              <w:t>candidat.e</w:t>
            </w:r>
            <w:proofErr w:type="spellEnd"/>
            <w:proofErr w:type="gramEnd"/>
            <w:r w:rsidRPr="00007427">
              <w:t xml:space="preserve"> devra faire preuve d'une grande disponibilité au service des étudiants et du dépa</w:t>
            </w:r>
            <w:r w:rsidR="00EC1F59">
              <w:t>rtement.</w:t>
            </w:r>
            <w:r w:rsidRPr="00007427">
              <w:t xml:space="preserve"> Il/Elle aura à s’investir dans la direction de mémoires </w:t>
            </w:r>
            <w:r w:rsidR="00921C04" w:rsidRPr="00007427">
              <w:t xml:space="preserve">dans le cadre du Master Mondes médiévaux. Il/Elle s’engagera aussi dans les activités de recherche du laboratoire et dans le </w:t>
            </w:r>
            <w:r w:rsidR="00E1259A" w:rsidRPr="00007427">
              <w:t>contrat</w:t>
            </w:r>
            <w:r w:rsidR="00921C04" w:rsidRPr="00007427">
              <w:t xml:space="preserve"> quinquennal 2021-2025</w:t>
            </w:r>
            <w:r w:rsidRPr="00007427">
              <w:t xml:space="preserve">. </w:t>
            </w:r>
          </w:p>
          <w:p w14:paraId="78245FE2" w14:textId="77777777" w:rsidR="00557A24" w:rsidRPr="00007427" w:rsidRDefault="00557A24" w:rsidP="00382AD6">
            <w:pPr>
              <w:jc w:val="both"/>
            </w:pPr>
          </w:p>
        </w:tc>
      </w:tr>
      <w:tr w:rsidR="00382AD6" w:rsidRPr="00007427" w14:paraId="0BFE0653" w14:textId="77777777" w:rsidTr="004E4929">
        <w:tc>
          <w:tcPr>
            <w:tcW w:w="10740" w:type="dxa"/>
            <w:gridSpan w:val="2"/>
          </w:tcPr>
          <w:p w14:paraId="7F37E57E" w14:textId="77777777" w:rsidR="00382AD6" w:rsidRPr="00007427" w:rsidRDefault="00557A24" w:rsidP="00557A24">
            <w:pPr>
              <w:jc w:val="both"/>
            </w:pPr>
            <w:r w:rsidRPr="00007427">
              <w:lastRenderedPageBreak/>
              <w:t xml:space="preserve">Mots clés </w:t>
            </w:r>
            <w:r w:rsidRPr="00007427">
              <w:rPr>
                <w:b/>
                <w:u w:val="single"/>
              </w:rPr>
              <w:t>(5 maximum)</w:t>
            </w:r>
            <w:r w:rsidR="006215F7">
              <w:t xml:space="preserve"> correspondant à l’emploi</w:t>
            </w:r>
          </w:p>
          <w:p w14:paraId="1E6C0438" w14:textId="77777777" w:rsidR="00557A24" w:rsidRPr="00007427" w:rsidRDefault="00557A24" w:rsidP="00557A24">
            <w:pPr>
              <w:jc w:val="both"/>
            </w:pPr>
          </w:p>
          <w:p w14:paraId="30EA8C1F" w14:textId="77777777" w:rsidR="00F60A36" w:rsidRPr="00007427" w:rsidRDefault="00F60A36" w:rsidP="00F60A36">
            <w:pPr>
              <w:jc w:val="both"/>
              <w:rPr>
                <w:bCs/>
              </w:rPr>
            </w:pPr>
            <w:r w:rsidRPr="00007427">
              <w:rPr>
                <w:bCs/>
              </w:rPr>
              <w:t xml:space="preserve">Histoire – Islam – Etudes médiévales – Comparatisme </w:t>
            </w:r>
          </w:p>
          <w:p w14:paraId="310E4872" w14:textId="77777777" w:rsidR="00557A24" w:rsidRPr="00007427" w:rsidRDefault="00557A24" w:rsidP="00557A24">
            <w:pPr>
              <w:jc w:val="both"/>
            </w:pPr>
          </w:p>
        </w:tc>
      </w:tr>
    </w:tbl>
    <w:p w14:paraId="2B454784" w14:textId="77777777" w:rsidR="001518A2" w:rsidRPr="00007427" w:rsidRDefault="001518A2" w:rsidP="001518A2">
      <w:pPr>
        <w:jc w:val="both"/>
      </w:pPr>
    </w:p>
    <w:sectPr w:rsidR="001518A2" w:rsidRPr="00007427" w:rsidSect="003F58D4">
      <w:pgSz w:w="11906" w:h="16838"/>
      <w:pgMar w:top="720" w:right="720" w:bottom="720" w:left="72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232AB2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A2"/>
    <w:rsid w:val="00007427"/>
    <w:rsid w:val="00016AA3"/>
    <w:rsid w:val="00036383"/>
    <w:rsid w:val="00080657"/>
    <w:rsid w:val="000E16C5"/>
    <w:rsid w:val="00112A3F"/>
    <w:rsid w:val="0012012F"/>
    <w:rsid w:val="00125C5A"/>
    <w:rsid w:val="0014075B"/>
    <w:rsid w:val="00145E4C"/>
    <w:rsid w:val="00146B01"/>
    <w:rsid w:val="001500AE"/>
    <w:rsid w:val="0015121E"/>
    <w:rsid w:val="001518A2"/>
    <w:rsid w:val="00190637"/>
    <w:rsid w:val="001E49B3"/>
    <w:rsid w:val="001E68B8"/>
    <w:rsid w:val="00213B43"/>
    <w:rsid w:val="00245328"/>
    <w:rsid w:val="0027266C"/>
    <w:rsid w:val="00295A69"/>
    <w:rsid w:val="002D20A1"/>
    <w:rsid w:val="002D7B7D"/>
    <w:rsid w:val="002F32DE"/>
    <w:rsid w:val="00382AD6"/>
    <w:rsid w:val="003B2E88"/>
    <w:rsid w:val="003C0830"/>
    <w:rsid w:val="003F58D4"/>
    <w:rsid w:val="004C1C0F"/>
    <w:rsid w:val="004C31A2"/>
    <w:rsid w:val="004E4929"/>
    <w:rsid w:val="00557A24"/>
    <w:rsid w:val="0057639E"/>
    <w:rsid w:val="00587A92"/>
    <w:rsid w:val="005B30D8"/>
    <w:rsid w:val="005F2275"/>
    <w:rsid w:val="006066A5"/>
    <w:rsid w:val="00610690"/>
    <w:rsid w:val="006215F7"/>
    <w:rsid w:val="006349E7"/>
    <w:rsid w:val="0064394A"/>
    <w:rsid w:val="00651314"/>
    <w:rsid w:val="00661895"/>
    <w:rsid w:val="006750F2"/>
    <w:rsid w:val="006A69E8"/>
    <w:rsid w:val="006B770E"/>
    <w:rsid w:val="0072055C"/>
    <w:rsid w:val="007B6134"/>
    <w:rsid w:val="00814703"/>
    <w:rsid w:val="00816224"/>
    <w:rsid w:val="00823D57"/>
    <w:rsid w:val="00827D0F"/>
    <w:rsid w:val="0084364C"/>
    <w:rsid w:val="0087435F"/>
    <w:rsid w:val="00880E9D"/>
    <w:rsid w:val="00921C04"/>
    <w:rsid w:val="009459A8"/>
    <w:rsid w:val="009A00D9"/>
    <w:rsid w:val="009D2133"/>
    <w:rsid w:val="009D4CFE"/>
    <w:rsid w:val="009E2A22"/>
    <w:rsid w:val="00A17D94"/>
    <w:rsid w:val="00A54DD9"/>
    <w:rsid w:val="00A5799A"/>
    <w:rsid w:val="00AD67A8"/>
    <w:rsid w:val="00B20A6B"/>
    <w:rsid w:val="00B319B6"/>
    <w:rsid w:val="00B96415"/>
    <w:rsid w:val="00BA46E1"/>
    <w:rsid w:val="00BA5056"/>
    <w:rsid w:val="00C066FD"/>
    <w:rsid w:val="00C10361"/>
    <w:rsid w:val="00C33060"/>
    <w:rsid w:val="00C655E2"/>
    <w:rsid w:val="00CB3922"/>
    <w:rsid w:val="00CE680E"/>
    <w:rsid w:val="00D32A2A"/>
    <w:rsid w:val="00D47F23"/>
    <w:rsid w:val="00D62D27"/>
    <w:rsid w:val="00DD14A2"/>
    <w:rsid w:val="00E1259A"/>
    <w:rsid w:val="00E41477"/>
    <w:rsid w:val="00E41D74"/>
    <w:rsid w:val="00E4625F"/>
    <w:rsid w:val="00EC1F59"/>
    <w:rsid w:val="00F03F74"/>
    <w:rsid w:val="00F408DA"/>
    <w:rsid w:val="00F60A36"/>
    <w:rsid w:val="00FB7276"/>
    <w:rsid w:val="00FC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922752"/>
  <w14:defaultImageDpi w14:val="0"/>
  <w15:docId w15:val="{57CD30A0-1DBA-447F-AFEC-68D242A19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1069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rsid w:val="00A17D94"/>
    <w:rPr>
      <w:rFonts w:cs="Times New Roman"/>
      <w:color w:val="0563C1"/>
      <w:u w:val="single"/>
    </w:rPr>
  </w:style>
  <w:style w:type="character" w:styleId="Marquedecommentaire">
    <w:name w:val="annotation reference"/>
    <w:basedOn w:val="Policepardfaut"/>
    <w:uiPriority w:val="99"/>
    <w:rsid w:val="00FC2B36"/>
    <w:rPr>
      <w:rFonts w:cs="Times New Roman"/>
      <w:sz w:val="18"/>
    </w:rPr>
  </w:style>
  <w:style w:type="paragraph" w:styleId="Commentaire">
    <w:name w:val="annotation text"/>
    <w:basedOn w:val="Normal"/>
    <w:link w:val="CommentaireCar"/>
    <w:uiPriority w:val="99"/>
    <w:rsid w:val="00FC2B36"/>
  </w:style>
  <w:style w:type="character" w:customStyle="1" w:styleId="CommentaireCar">
    <w:name w:val="Commentaire Car"/>
    <w:basedOn w:val="Policepardfaut"/>
    <w:link w:val="Commentaire"/>
    <w:uiPriority w:val="99"/>
    <w:locked/>
    <w:rsid w:val="00FC2B36"/>
    <w:rPr>
      <w:rFonts w:cs="Times New Roman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FC2B36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FC2B36"/>
    <w:rPr>
      <w:rFonts w:cs="Times New Roman"/>
      <w:b/>
      <w:sz w:val="24"/>
    </w:rPr>
  </w:style>
  <w:style w:type="paragraph" w:styleId="NormalWeb">
    <w:name w:val="Normal (Web)"/>
    <w:basedOn w:val="Normal"/>
    <w:uiPriority w:val="99"/>
    <w:rsid w:val="00BA5056"/>
    <w:pPr>
      <w:spacing w:beforeLines="1" w:afterLines="1"/>
    </w:pPr>
    <w:rPr>
      <w:rFonts w:ascii="Times" w:hAnsi="Times"/>
      <w:sz w:val="20"/>
      <w:szCs w:val="20"/>
    </w:rPr>
  </w:style>
  <w:style w:type="character" w:styleId="lev">
    <w:name w:val="Strong"/>
    <w:basedOn w:val="Policepardfaut"/>
    <w:uiPriority w:val="22"/>
    <w:qFormat/>
    <w:rsid w:val="006B770E"/>
    <w:rPr>
      <w:rFonts w:cs="Times New Roman"/>
      <w:b/>
      <w:bCs/>
    </w:rPr>
  </w:style>
  <w:style w:type="paragraph" w:customStyle="1" w:styleId="CorpsA">
    <w:name w:val="Corps A"/>
    <w:rsid w:val="00F60A3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0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an-louis.gaulin@univ-lyon2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lyon2.fr/recherche/www3-recherche-131210.kjsp?RH=WWW1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 DE  POSTE</vt:lpstr>
    </vt:vector>
  </TitlesOfParts>
  <Company>Universite lumiere lyon2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 DE  POSTE</dc:title>
  <dc:subject/>
  <dc:creator>Jean-louis Gaulin</dc:creator>
  <cp:keywords/>
  <dc:description/>
  <cp:lastModifiedBy>Anthony Simon</cp:lastModifiedBy>
  <cp:revision>2</cp:revision>
  <cp:lastPrinted>2019-09-30T13:23:00Z</cp:lastPrinted>
  <dcterms:created xsi:type="dcterms:W3CDTF">2019-10-01T08:12:00Z</dcterms:created>
  <dcterms:modified xsi:type="dcterms:W3CDTF">2019-10-01T08:12:00Z</dcterms:modified>
</cp:coreProperties>
</file>